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07E3" w14:textId="77777777" w:rsidR="00C64BFF" w:rsidRPr="009C0816" w:rsidRDefault="00C64BFF">
      <w:pPr>
        <w:rPr>
          <w:rFonts w:ascii="Century Gothic" w:hAnsi="Century Gothic"/>
          <w:b/>
          <w:u w:val="single"/>
        </w:rPr>
      </w:pPr>
      <w:r w:rsidRPr="009C0816">
        <w:rPr>
          <w:rFonts w:ascii="Century Gothic" w:hAnsi="Century Gothic"/>
          <w:b/>
          <w:u w:val="single"/>
        </w:rPr>
        <w:t xml:space="preserve">Rent Protection Network </w:t>
      </w:r>
      <w:proofErr w:type="spellStart"/>
      <w:r w:rsidRPr="009C0816">
        <w:rPr>
          <w:rFonts w:ascii="Century Gothic" w:hAnsi="Century Gothic"/>
          <w:b/>
          <w:u w:val="single"/>
        </w:rPr>
        <w:t>eNews</w:t>
      </w:r>
      <w:proofErr w:type="spellEnd"/>
      <w:r w:rsidRPr="009C0816">
        <w:rPr>
          <w:rFonts w:ascii="Century Gothic" w:hAnsi="Century Gothic"/>
          <w:b/>
          <w:u w:val="single"/>
        </w:rPr>
        <w:t xml:space="preserve"> – August 2020</w:t>
      </w:r>
    </w:p>
    <w:p w14:paraId="0DAC402C" w14:textId="61A1DCE3" w:rsidR="00C64BFF" w:rsidRPr="009C0816" w:rsidRDefault="00530775">
      <w:pPr>
        <w:rPr>
          <w:rFonts w:ascii="Century Gothic" w:hAnsi="Century Gothic"/>
        </w:rPr>
      </w:pPr>
      <w:r>
        <w:rPr>
          <w:rFonts w:ascii="Century Gothic" w:hAnsi="Century Gothic"/>
        </w:rPr>
        <w:t>Paymentshield are</w:t>
      </w:r>
      <w:r w:rsidR="00C64BFF" w:rsidRPr="009C0816">
        <w:rPr>
          <w:rFonts w:ascii="Century Gothic" w:hAnsi="Century Gothic"/>
        </w:rPr>
        <w:t xml:space="preserve"> excited to let you know that as part of </w:t>
      </w:r>
      <w:r>
        <w:rPr>
          <w:rFonts w:ascii="Century Gothic" w:hAnsi="Century Gothic"/>
        </w:rPr>
        <w:t>their</w:t>
      </w:r>
      <w:r w:rsidR="00C64BFF" w:rsidRPr="009C0816">
        <w:rPr>
          <w:rFonts w:ascii="Century Gothic" w:hAnsi="Century Gothic"/>
        </w:rPr>
        <w:t xml:space="preserve"> 5 Star Defaqto Rated Landlords Insurance, Rent Protection </w:t>
      </w:r>
      <w:r w:rsidR="00ED4436" w:rsidRPr="009C0816">
        <w:rPr>
          <w:rFonts w:ascii="Century Gothic" w:hAnsi="Century Gothic"/>
        </w:rPr>
        <w:t>o</w:t>
      </w:r>
      <w:r w:rsidR="00C64BFF" w:rsidRPr="009C0816">
        <w:rPr>
          <w:rFonts w:ascii="Century Gothic" w:hAnsi="Century Gothic"/>
        </w:rPr>
        <w:t xml:space="preserve">ptional </w:t>
      </w:r>
      <w:r w:rsidR="00ED4436" w:rsidRPr="009C0816">
        <w:rPr>
          <w:rFonts w:ascii="Century Gothic" w:hAnsi="Century Gothic"/>
        </w:rPr>
        <w:t>e</w:t>
      </w:r>
      <w:r w:rsidR="00C64BFF" w:rsidRPr="009C0816">
        <w:rPr>
          <w:rFonts w:ascii="Century Gothic" w:hAnsi="Century Gothic"/>
        </w:rPr>
        <w:t>xtra is available for new business!</w:t>
      </w:r>
    </w:p>
    <w:p w14:paraId="24268E02" w14:textId="6E01CB0E" w:rsidR="00F82BBF" w:rsidRPr="009C0816" w:rsidRDefault="00ED4436">
      <w:pPr>
        <w:rPr>
          <w:rFonts w:ascii="Century Gothic" w:hAnsi="Century Gothic"/>
        </w:rPr>
      </w:pPr>
      <w:r w:rsidRPr="009C0816">
        <w:rPr>
          <w:rFonts w:ascii="Century Gothic" w:hAnsi="Century Gothic"/>
        </w:rPr>
        <w:t>For most, receiving rental income in full and on time is essential to cover mortgage and other associated payments.</w:t>
      </w:r>
      <w:r w:rsidR="00F82BBF" w:rsidRPr="009C0816">
        <w:rPr>
          <w:rFonts w:ascii="Century Gothic" w:hAnsi="Century Gothic"/>
        </w:rPr>
        <w:t xml:space="preserve"> </w:t>
      </w:r>
      <w:r w:rsidRPr="009C0816">
        <w:rPr>
          <w:rFonts w:ascii="Century Gothic" w:hAnsi="Century Gothic"/>
        </w:rPr>
        <w:t xml:space="preserve">Even the best tenants </w:t>
      </w:r>
      <w:r w:rsidR="00F82BBF" w:rsidRPr="009C0816">
        <w:rPr>
          <w:rFonts w:ascii="Century Gothic" w:hAnsi="Century Gothic"/>
        </w:rPr>
        <w:t>can find their circumstances changing, such as redundancy and long-term sick – this could mean they are unable to pay the rent</w:t>
      </w:r>
      <w:r w:rsidRPr="009C0816">
        <w:rPr>
          <w:rFonts w:ascii="Century Gothic" w:hAnsi="Century Gothic"/>
        </w:rPr>
        <w:t>.</w:t>
      </w:r>
    </w:p>
    <w:p w14:paraId="2D723ACE" w14:textId="1138401E" w:rsidR="00F82BBF" w:rsidRPr="009C0816" w:rsidRDefault="00F82BBF">
      <w:pPr>
        <w:rPr>
          <w:rFonts w:ascii="Century Gothic" w:hAnsi="Century Gothic"/>
        </w:rPr>
      </w:pPr>
      <w:r w:rsidRPr="009C0816">
        <w:rPr>
          <w:rFonts w:ascii="Century Gothic" w:hAnsi="Century Gothic"/>
        </w:rPr>
        <w:t xml:space="preserve">Rent Protection </w:t>
      </w:r>
      <w:r w:rsidR="00ED4436" w:rsidRPr="009C0816">
        <w:rPr>
          <w:rFonts w:ascii="Century Gothic" w:hAnsi="Century Gothic"/>
        </w:rPr>
        <w:t xml:space="preserve">can </w:t>
      </w:r>
      <w:r w:rsidRPr="009C0816">
        <w:rPr>
          <w:rFonts w:ascii="Century Gothic" w:hAnsi="Century Gothic"/>
        </w:rPr>
        <w:t>provide peace of mind should you</w:t>
      </w:r>
      <w:r w:rsidR="00ED4436" w:rsidRPr="009C0816">
        <w:rPr>
          <w:rFonts w:ascii="Century Gothic" w:hAnsi="Century Gothic"/>
        </w:rPr>
        <w:t>r clients</w:t>
      </w:r>
      <w:r w:rsidRPr="009C0816">
        <w:rPr>
          <w:rFonts w:ascii="Century Gothic" w:hAnsi="Century Gothic"/>
        </w:rPr>
        <w:t xml:space="preserve"> find </w:t>
      </w:r>
      <w:r w:rsidR="00ED4436" w:rsidRPr="009C0816">
        <w:rPr>
          <w:rFonts w:ascii="Century Gothic" w:hAnsi="Century Gothic"/>
        </w:rPr>
        <w:t>their</w:t>
      </w:r>
      <w:r w:rsidRPr="009C0816">
        <w:rPr>
          <w:rFonts w:ascii="Century Gothic" w:hAnsi="Century Gothic"/>
        </w:rPr>
        <w:t xml:space="preserve"> tenants can’t or won’t pay the rent.</w:t>
      </w:r>
      <w:r w:rsidR="009C0816" w:rsidRPr="009C0816">
        <w:rPr>
          <w:rFonts w:ascii="Century Gothic" w:hAnsi="Century Gothic"/>
        </w:rPr>
        <w:t xml:space="preserve"> </w:t>
      </w:r>
      <w:r w:rsidR="00530775">
        <w:rPr>
          <w:rFonts w:ascii="Century Gothic" w:hAnsi="Century Gothic"/>
        </w:rPr>
        <w:t>Paymentshield</w:t>
      </w:r>
      <w:r w:rsidRPr="009C0816">
        <w:rPr>
          <w:rFonts w:ascii="Century Gothic" w:hAnsi="Century Gothic"/>
        </w:rPr>
        <w:t xml:space="preserve"> also provide legal expenses as standard to cover any legal fees should you</w:t>
      </w:r>
      <w:r w:rsidR="00ED4436" w:rsidRPr="009C0816">
        <w:rPr>
          <w:rFonts w:ascii="Century Gothic" w:hAnsi="Century Gothic"/>
        </w:rPr>
        <w:t>r client</w:t>
      </w:r>
      <w:r w:rsidRPr="009C0816">
        <w:rPr>
          <w:rFonts w:ascii="Century Gothic" w:hAnsi="Century Gothic"/>
        </w:rPr>
        <w:t xml:space="preserve"> need to evict </w:t>
      </w:r>
      <w:r w:rsidR="00ED4436" w:rsidRPr="009C0816">
        <w:rPr>
          <w:rFonts w:ascii="Century Gothic" w:hAnsi="Century Gothic"/>
        </w:rPr>
        <w:t>their tenant</w:t>
      </w:r>
      <w:r w:rsidRPr="009C0816">
        <w:rPr>
          <w:rFonts w:ascii="Century Gothic" w:hAnsi="Century Gothic"/>
        </w:rPr>
        <w:t>.</w:t>
      </w:r>
    </w:p>
    <w:p w14:paraId="1246CBE0" w14:textId="244965E1" w:rsidR="00C64BFF" w:rsidRPr="009C0816" w:rsidRDefault="00C64BFF" w:rsidP="00C64BFF">
      <w:pPr>
        <w:pStyle w:val="NormalWeb"/>
        <w:spacing w:before="0" w:beforeAutospacing="0" w:after="0" w:afterAutospacing="0" w:line="315" w:lineRule="atLeast"/>
        <w:rPr>
          <w:rFonts w:ascii="Century Gothic" w:hAnsi="Century Gothic" w:cs="Arial"/>
        </w:rPr>
      </w:pPr>
      <w:r w:rsidRPr="009C0816">
        <w:rPr>
          <w:rFonts w:ascii="Century Gothic" w:hAnsi="Century Gothic"/>
          <w:b/>
          <w:bCs/>
          <w:i/>
        </w:rPr>
        <w:t>Changes to rent protection</w:t>
      </w:r>
      <w:r w:rsidRPr="009C0816">
        <w:rPr>
          <w:rFonts w:ascii="Century Gothic" w:hAnsi="Century Gothic"/>
          <w:i/>
        </w:rPr>
        <w:br/>
      </w:r>
      <w:r w:rsidRPr="009C0816">
        <w:rPr>
          <w:rFonts w:ascii="Century Gothic" w:hAnsi="Century Gothic"/>
        </w:rPr>
        <w:t xml:space="preserve">To continue to offer your buy-to-let clients a competitive level of cover, </w:t>
      </w:r>
      <w:r w:rsidR="00530775">
        <w:rPr>
          <w:rFonts w:ascii="Century Gothic" w:hAnsi="Century Gothic"/>
        </w:rPr>
        <w:t>they’ve</w:t>
      </w:r>
      <w:r w:rsidRPr="009C0816">
        <w:rPr>
          <w:rFonts w:ascii="Century Gothic" w:hAnsi="Century Gothic"/>
        </w:rPr>
        <w:t xml:space="preserve"> made the following changes to the rent protection optional extra:</w:t>
      </w:r>
    </w:p>
    <w:p w14:paraId="41081E73" w14:textId="77777777" w:rsidR="00C64BFF" w:rsidRPr="009C0816" w:rsidRDefault="00C64BFF" w:rsidP="00C64BFF">
      <w:pPr>
        <w:numPr>
          <w:ilvl w:val="0"/>
          <w:numId w:val="1"/>
        </w:numPr>
        <w:spacing w:before="100" w:beforeAutospacing="1" w:after="100" w:afterAutospacing="1" w:line="330" w:lineRule="atLeast"/>
        <w:rPr>
          <w:rFonts w:ascii="Century Gothic" w:eastAsia="Times New Roman" w:hAnsi="Century Gothic" w:cs="Arial"/>
        </w:rPr>
      </w:pPr>
      <w:r w:rsidRPr="009C0816">
        <w:rPr>
          <w:rFonts w:ascii="Century Gothic" w:eastAsia="Times New Roman" w:hAnsi="Century Gothic"/>
        </w:rPr>
        <w:t>Rent arrears will be payable for a maximum of 6 months</w:t>
      </w:r>
    </w:p>
    <w:p w14:paraId="6F8505F4" w14:textId="77777777" w:rsidR="00C64BFF" w:rsidRPr="009C0816" w:rsidRDefault="00C64BFF" w:rsidP="00C64BFF">
      <w:pPr>
        <w:numPr>
          <w:ilvl w:val="0"/>
          <w:numId w:val="1"/>
        </w:numPr>
        <w:spacing w:before="100" w:beforeAutospacing="1" w:after="100" w:afterAutospacing="1" w:line="330" w:lineRule="atLeast"/>
        <w:rPr>
          <w:rFonts w:ascii="Century Gothic" w:eastAsia="Times New Roman" w:hAnsi="Century Gothic" w:cs="Arial"/>
        </w:rPr>
      </w:pPr>
      <w:r w:rsidRPr="009C0816">
        <w:rPr>
          <w:rFonts w:ascii="Century Gothic" w:eastAsia="Times New Roman" w:hAnsi="Century Gothic"/>
        </w:rPr>
        <w:t>A new mediation service is now part of the tenant eviction cover</w:t>
      </w:r>
    </w:p>
    <w:p w14:paraId="5D425C39" w14:textId="43B67922" w:rsidR="00C64BFF" w:rsidRPr="009C0816" w:rsidRDefault="00C64BFF" w:rsidP="00C64BFF">
      <w:pPr>
        <w:numPr>
          <w:ilvl w:val="0"/>
          <w:numId w:val="1"/>
        </w:numPr>
        <w:spacing w:before="100" w:beforeAutospacing="1" w:after="100" w:afterAutospacing="1" w:line="330" w:lineRule="atLeast"/>
        <w:rPr>
          <w:rFonts w:ascii="Century Gothic" w:eastAsia="Times New Roman" w:hAnsi="Century Gothic" w:cs="Arial"/>
        </w:rPr>
      </w:pPr>
      <w:r w:rsidRPr="009C0816">
        <w:rPr>
          <w:rFonts w:ascii="Century Gothic" w:eastAsia="Times New Roman" w:hAnsi="Century Gothic"/>
        </w:rPr>
        <w:t>Cover for rent arrears after vacant possession is achieve</w:t>
      </w:r>
      <w:r w:rsidR="007B3CA9" w:rsidRPr="009C0816">
        <w:rPr>
          <w:rFonts w:ascii="Century Gothic" w:eastAsia="Times New Roman" w:hAnsi="Century Gothic"/>
        </w:rPr>
        <w:t>d</w:t>
      </w:r>
      <w:r w:rsidRPr="009C0816">
        <w:rPr>
          <w:rFonts w:ascii="Century Gothic" w:eastAsia="Times New Roman" w:hAnsi="Century Gothic"/>
        </w:rPr>
        <w:t xml:space="preserve"> has been removed</w:t>
      </w:r>
    </w:p>
    <w:p w14:paraId="55D8D6D7" w14:textId="77777777" w:rsidR="00ED4436" w:rsidRPr="009C0816" w:rsidRDefault="00ED4436" w:rsidP="00ED4436">
      <w:pPr>
        <w:spacing w:after="0" w:line="240" w:lineRule="auto"/>
        <w:rPr>
          <w:rFonts w:ascii="Century Gothic" w:eastAsia="Times New Roman" w:hAnsi="Century Gothic" w:cs="Times New Roman"/>
          <w:lang w:eastAsia="en-GB"/>
        </w:rPr>
      </w:pPr>
      <w:r w:rsidRPr="009C0816">
        <w:rPr>
          <w:rFonts w:ascii="Century Gothic" w:eastAsia="Times New Roman" w:hAnsi="Century Gothic" w:cs="Times New Roman"/>
          <w:shd w:val="clear" w:color="auto" w:fill="FFFFFF"/>
          <w:lang w:eastAsia="en-GB"/>
        </w:rPr>
        <w:t>Your buy-to-let clients will continue to benefit from:</w:t>
      </w:r>
    </w:p>
    <w:p w14:paraId="7AB6D1AA" w14:textId="77777777" w:rsidR="00ED4436" w:rsidRPr="009C0816" w:rsidRDefault="00ED4436" w:rsidP="00ED4436">
      <w:pPr>
        <w:numPr>
          <w:ilvl w:val="0"/>
          <w:numId w:val="1"/>
        </w:numPr>
        <w:shd w:val="clear" w:color="auto" w:fill="FFFFFF"/>
        <w:spacing w:before="100" w:beforeAutospacing="1" w:after="100" w:afterAutospacing="1" w:line="240" w:lineRule="auto"/>
        <w:rPr>
          <w:rFonts w:ascii="Century Gothic" w:eastAsia="Times New Roman" w:hAnsi="Century Gothic" w:cs="Arial"/>
          <w:lang w:eastAsia="en-GB"/>
        </w:rPr>
      </w:pPr>
      <w:r w:rsidRPr="009C0816">
        <w:rPr>
          <w:rFonts w:ascii="Century Gothic" w:eastAsia="Times New Roman" w:hAnsi="Century Gothic" w:cs="Arial"/>
          <w:lang w:eastAsia="en-GB"/>
        </w:rPr>
        <w:t>Rent arrears covered up to £2,500 of rent per month, even if the agreed rent is above that amount</w:t>
      </w:r>
    </w:p>
    <w:p w14:paraId="5296659C" w14:textId="77777777" w:rsidR="00ED4436" w:rsidRPr="009C0816" w:rsidRDefault="00ED4436" w:rsidP="00ED4436">
      <w:pPr>
        <w:numPr>
          <w:ilvl w:val="0"/>
          <w:numId w:val="1"/>
        </w:numPr>
        <w:shd w:val="clear" w:color="auto" w:fill="FFFFFF"/>
        <w:spacing w:before="100" w:beforeAutospacing="1" w:after="100" w:afterAutospacing="1" w:line="240" w:lineRule="auto"/>
        <w:rPr>
          <w:rFonts w:ascii="Century Gothic" w:eastAsia="Times New Roman" w:hAnsi="Century Gothic" w:cs="Arial"/>
          <w:lang w:eastAsia="en-GB"/>
        </w:rPr>
      </w:pPr>
      <w:r w:rsidRPr="009C0816">
        <w:rPr>
          <w:rFonts w:ascii="Century Gothic" w:eastAsia="Times New Roman" w:hAnsi="Century Gothic" w:cs="Arial"/>
          <w:lang w:eastAsia="en-GB"/>
        </w:rPr>
        <w:t>Up to £100,000 of legal costs, including mediation expenses, defence costs and handling the eviction proceedings</w:t>
      </w:r>
    </w:p>
    <w:p w14:paraId="6EC4FF70" w14:textId="77777777" w:rsidR="00ED4436" w:rsidRPr="009C0816" w:rsidRDefault="00ED4436" w:rsidP="00ED4436">
      <w:pPr>
        <w:numPr>
          <w:ilvl w:val="0"/>
          <w:numId w:val="1"/>
        </w:numPr>
        <w:shd w:val="clear" w:color="auto" w:fill="FFFFFF"/>
        <w:spacing w:before="100" w:beforeAutospacing="1" w:after="100" w:afterAutospacing="1" w:line="240" w:lineRule="auto"/>
        <w:rPr>
          <w:rFonts w:ascii="Century Gothic" w:eastAsia="Times New Roman" w:hAnsi="Century Gothic" w:cs="Arial"/>
          <w:lang w:eastAsia="en-GB"/>
        </w:rPr>
      </w:pPr>
      <w:r w:rsidRPr="009C0816">
        <w:rPr>
          <w:rFonts w:ascii="Century Gothic" w:eastAsia="Times New Roman" w:hAnsi="Century Gothic" w:cs="Arial"/>
          <w:lang w:eastAsia="en-GB"/>
        </w:rPr>
        <w:t>A 24/7 legal advice helpline</w:t>
      </w:r>
    </w:p>
    <w:p w14:paraId="79D124E3" w14:textId="02250471" w:rsidR="009C0816" w:rsidRPr="009C0816" w:rsidRDefault="009C0816" w:rsidP="009C0816">
      <w:pPr>
        <w:spacing w:line="330" w:lineRule="atLeast"/>
        <w:rPr>
          <w:rFonts w:ascii="Century Gothic" w:eastAsia="Times New Roman" w:hAnsi="Century Gothic" w:cs="Arial"/>
          <w:sz w:val="20"/>
          <w:szCs w:val="20"/>
        </w:rPr>
      </w:pPr>
      <w:r w:rsidRPr="009C0816">
        <w:rPr>
          <w:rStyle w:val="Strong"/>
          <w:rFonts w:ascii="Century Gothic" w:eastAsia="Times New Roman" w:hAnsi="Century Gothic" w:cs="Arial"/>
          <w:i/>
          <w:iCs/>
        </w:rPr>
        <w:t>Pricing</w:t>
      </w:r>
      <w:r w:rsidRPr="009C0816">
        <w:rPr>
          <w:rFonts w:ascii="Century Gothic" w:eastAsia="Times New Roman" w:hAnsi="Century Gothic" w:cs="Arial"/>
          <w:i/>
          <w:iCs/>
        </w:rPr>
        <w:br/>
      </w:r>
      <w:r w:rsidRPr="009C0816">
        <w:rPr>
          <w:rFonts w:ascii="Century Gothic" w:eastAsia="Times New Roman" w:hAnsi="Century Gothic" w:cs="Arial"/>
        </w:rPr>
        <w:t xml:space="preserve">In line with the changes in cover, </w:t>
      </w:r>
      <w:r w:rsidR="00530775">
        <w:rPr>
          <w:rFonts w:ascii="Century Gothic" w:eastAsia="Times New Roman" w:hAnsi="Century Gothic" w:cs="Arial"/>
        </w:rPr>
        <w:t>their</w:t>
      </w:r>
      <w:r w:rsidRPr="009C0816">
        <w:rPr>
          <w:rFonts w:ascii="Century Gothic" w:eastAsia="Times New Roman" w:hAnsi="Century Gothic" w:cs="Arial"/>
        </w:rPr>
        <w:t xml:space="preserve"> updated pricing structure is outlined below: </w:t>
      </w:r>
    </w:p>
    <w:p w14:paraId="6781184A" w14:textId="77777777" w:rsidR="009C0816" w:rsidRPr="009C0816" w:rsidRDefault="009C0816" w:rsidP="009C0816">
      <w:pPr>
        <w:numPr>
          <w:ilvl w:val="0"/>
          <w:numId w:val="4"/>
        </w:numPr>
        <w:spacing w:before="100" w:beforeAutospacing="1" w:after="100" w:afterAutospacing="1" w:line="330" w:lineRule="atLeast"/>
        <w:rPr>
          <w:rFonts w:ascii="Century Gothic" w:eastAsia="Times New Roman" w:hAnsi="Century Gothic" w:cs="Arial"/>
          <w:sz w:val="20"/>
          <w:szCs w:val="20"/>
        </w:rPr>
      </w:pPr>
      <w:r w:rsidRPr="009C0816">
        <w:rPr>
          <w:rFonts w:ascii="Century Gothic" w:eastAsia="Times New Roman" w:hAnsi="Century Gothic" w:cs="Arial"/>
        </w:rPr>
        <w:t>Rent Protection - £205.00 </w:t>
      </w:r>
    </w:p>
    <w:p w14:paraId="5E8DCA96" w14:textId="77777777" w:rsidR="009C0816" w:rsidRPr="009C0816" w:rsidRDefault="009C0816" w:rsidP="009C0816">
      <w:pPr>
        <w:numPr>
          <w:ilvl w:val="0"/>
          <w:numId w:val="4"/>
        </w:numPr>
        <w:spacing w:before="100" w:beforeAutospacing="1" w:after="100" w:afterAutospacing="1" w:line="330" w:lineRule="atLeast"/>
        <w:rPr>
          <w:rFonts w:ascii="Century Gothic" w:eastAsia="Times New Roman" w:hAnsi="Century Gothic" w:cs="Arial"/>
          <w:sz w:val="20"/>
          <w:szCs w:val="20"/>
        </w:rPr>
      </w:pPr>
      <w:r w:rsidRPr="009C0816">
        <w:rPr>
          <w:rFonts w:ascii="Century Gothic" w:eastAsia="Times New Roman" w:hAnsi="Century Gothic" w:cs="Arial"/>
        </w:rPr>
        <w:t>Legal Expenses - £59.99</w:t>
      </w:r>
    </w:p>
    <w:p w14:paraId="00A1D86E" w14:textId="424A229D" w:rsidR="009C0816" w:rsidRPr="009C0816" w:rsidRDefault="009C0816" w:rsidP="009C0816">
      <w:pPr>
        <w:numPr>
          <w:ilvl w:val="0"/>
          <w:numId w:val="4"/>
        </w:numPr>
        <w:spacing w:before="100" w:beforeAutospacing="1" w:after="100" w:afterAutospacing="1" w:line="330" w:lineRule="atLeast"/>
        <w:rPr>
          <w:rFonts w:ascii="Century Gothic" w:eastAsia="Times New Roman" w:hAnsi="Century Gothic" w:cs="Arial"/>
          <w:sz w:val="20"/>
          <w:szCs w:val="20"/>
        </w:rPr>
      </w:pPr>
      <w:r w:rsidRPr="009C0816">
        <w:rPr>
          <w:rFonts w:ascii="Century Gothic" w:eastAsia="Times New Roman" w:hAnsi="Century Gothic" w:cs="Arial"/>
        </w:rPr>
        <w:t>Rent Protection and Legal Expenses combined - £25</w:t>
      </w:r>
      <w:r w:rsidR="00FE4F11">
        <w:rPr>
          <w:rFonts w:ascii="Century Gothic" w:eastAsia="Times New Roman" w:hAnsi="Century Gothic" w:cs="Arial"/>
        </w:rPr>
        <w:t>5.00</w:t>
      </w:r>
    </w:p>
    <w:p w14:paraId="16886FDD" w14:textId="4F5568AF" w:rsidR="00ED4436" w:rsidRPr="00552855" w:rsidRDefault="009C0816" w:rsidP="009C0816">
      <w:pPr>
        <w:spacing w:before="100" w:beforeAutospacing="1" w:after="100" w:afterAutospacing="1" w:line="330" w:lineRule="atLeast"/>
        <w:ind w:left="360"/>
        <w:rPr>
          <w:rFonts w:ascii="Century Gothic" w:eastAsia="Times New Roman" w:hAnsi="Century Gothic" w:cs="Arial"/>
        </w:rPr>
      </w:pPr>
      <w:r w:rsidRPr="009C0816">
        <w:rPr>
          <w:rStyle w:val="Strong"/>
          <w:rFonts w:ascii="Century Gothic" w:eastAsia="Times New Roman" w:hAnsi="Century Gothic" w:cs="Arial"/>
          <w:i/>
          <w:iCs/>
        </w:rPr>
        <w:t>New mediation service</w:t>
      </w:r>
      <w:r w:rsidRPr="009C0816">
        <w:rPr>
          <w:rFonts w:ascii="Century Gothic" w:eastAsia="Times New Roman" w:hAnsi="Century Gothic" w:cs="Arial"/>
          <w:i/>
          <w:iCs/>
        </w:rPr>
        <w:br/>
      </w:r>
      <w:r w:rsidRPr="009C0816">
        <w:rPr>
          <w:rFonts w:ascii="Century Gothic" w:eastAsia="Times New Roman" w:hAnsi="Century Gothic" w:cs="Arial"/>
        </w:rPr>
        <w:t>It is now a requirement that tenants are engaged in mediation if they fail to pay their rent. Failure to follow mediation correctly could mean having to start the whole process again or the tenant not being evicted.</w:t>
      </w:r>
      <w:r w:rsidRPr="009C0816">
        <w:rPr>
          <w:rFonts w:ascii="Century Gothic" w:eastAsia="Times New Roman" w:hAnsi="Century Gothic" w:cs="Arial"/>
        </w:rPr>
        <w:br/>
      </w:r>
      <w:r w:rsidRPr="009C0816">
        <w:rPr>
          <w:rFonts w:ascii="Century Gothic" w:eastAsia="Times New Roman" w:hAnsi="Century Gothic" w:cs="Arial"/>
        </w:rPr>
        <w:br/>
      </w:r>
      <w:r w:rsidR="00552855" w:rsidRPr="00552855">
        <w:rPr>
          <w:rFonts w:ascii="Century Gothic" w:hAnsi="Century Gothic"/>
        </w:rPr>
        <w:t xml:space="preserve">The mediation service provided as part of </w:t>
      </w:r>
      <w:r w:rsidR="00530775">
        <w:rPr>
          <w:rFonts w:ascii="Century Gothic" w:hAnsi="Century Gothic"/>
        </w:rPr>
        <w:t>their</w:t>
      </w:r>
      <w:r w:rsidR="00552855" w:rsidRPr="00552855">
        <w:rPr>
          <w:rFonts w:ascii="Century Gothic" w:hAnsi="Century Gothic"/>
        </w:rPr>
        <w:t xml:space="preserve"> Rent Protection optional extra is included as standard with costs associated with mediation included under the legal expenses limit</w:t>
      </w:r>
      <w:r w:rsidRPr="00552855">
        <w:rPr>
          <w:rFonts w:ascii="Century Gothic" w:eastAsia="Times New Roman" w:hAnsi="Century Gothic" w:cs="Arial"/>
        </w:rPr>
        <w:t>.</w:t>
      </w:r>
    </w:p>
    <w:p w14:paraId="06488319" w14:textId="77777777" w:rsidR="00C64BFF" w:rsidRPr="009C0816" w:rsidRDefault="00C64BFF" w:rsidP="00C64BFF">
      <w:pPr>
        <w:spacing w:before="100" w:beforeAutospacing="1" w:after="100" w:afterAutospacing="1" w:line="330" w:lineRule="atLeast"/>
        <w:rPr>
          <w:rFonts w:ascii="Century Gothic" w:eastAsia="Times New Roman" w:hAnsi="Century Gothic"/>
          <w:b/>
          <w:i/>
        </w:rPr>
      </w:pPr>
      <w:r w:rsidRPr="009C0816">
        <w:rPr>
          <w:rFonts w:ascii="Century Gothic" w:eastAsia="Times New Roman" w:hAnsi="Century Gothic"/>
          <w:b/>
          <w:i/>
        </w:rPr>
        <w:t xml:space="preserve">Your </w:t>
      </w:r>
      <w:r w:rsidR="00ED4436" w:rsidRPr="009C0816">
        <w:rPr>
          <w:rFonts w:ascii="Century Gothic" w:eastAsia="Times New Roman" w:hAnsi="Century Gothic"/>
          <w:b/>
          <w:i/>
        </w:rPr>
        <w:t xml:space="preserve">Paymentshield </w:t>
      </w:r>
      <w:r w:rsidRPr="009C0816">
        <w:rPr>
          <w:rFonts w:ascii="Century Gothic" w:eastAsia="Times New Roman" w:hAnsi="Century Gothic"/>
          <w:b/>
          <w:i/>
        </w:rPr>
        <w:t>BDM is here to help</w:t>
      </w:r>
    </w:p>
    <w:p w14:paraId="26DA11CD" w14:textId="2C814032" w:rsidR="00C64BFF" w:rsidRPr="009C0816" w:rsidRDefault="00C64BFF" w:rsidP="00C64BFF">
      <w:pPr>
        <w:spacing w:before="100" w:beforeAutospacing="1" w:after="100" w:afterAutospacing="1" w:line="330" w:lineRule="atLeast"/>
        <w:rPr>
          <w:rFonts w:ascii="Century Gothic" w:eastAsia="Times New Roman" w:hAnsi="Century Gothic"/>
        </w:rPr>
      </w:pPr>
      <w:r w:rsidRPr="009C0816">
        <w:rPr>
          <w:rFonts w:ascii="Century Gothic" w:eastAsia="Times New Roman" w:hAnsi="Century Gothic"/>
        </w:rPr>
        <w:lastRenderedPageBreak/>
        <w:t xml:space="preserve">If you have any questions about </w:t>
      </w:r>
      <w:r w:rsidR="00530775">
        <w:rPr>
          <w:rFonts w:ascii="Century Gothic" w:eastAsia="Times New Roman" w:hAnsi="Century Gothic"/>
        </w:rPr>
        <w:t>their</w:t>
      </w:r>
      <w:r w:rsidR="00ED4436" w:rsidRPr="009C0816">
        <w:rPr>
          <w:rFonts w:ascii="Century Gothic" w:eastAsia="Times New Roman" w:hAnsi="Century Gothic"/>
        </w:rPr>
        <w:t xml:space="preserve"> </w:t>
      </w:r>
      <w:r w:rsidRPr="009C0816">
        <w:rPr>
          <w:rFonts w:ascii="Century Gothic" w:eastAsia="Times New Roman" w:hAnsi="Century Gothic"/>
        </w:rPr>
        <w:t>Rent Protection</w:t>
      </w:r>
      <w:r w:rsidR="00ED4436" w:rsidRPr="009C0816">
        <w:rPr>
          <w:rFonts w:ascii="Century Gothic" w:eastAsia="Times New Roman" w:hAnsi="Century Gothic"/>
        </w:rPr>
        <w:t xml:space="preserve"> or Landlords Insurance</w:t>
      </w:r>
      <w:r w:rsidRPr="009C0816">
        <w:rPr>
          <w:rFonts w:ascii="Century Gothic" w:eastAsia="Times New Roman" w:hAnsi="Century Gothic"/>
        </w:rPr>
        <w:t xml:space="preserve">, </w:t>
      </w:r>
      <w:r w:rsidR="00ED4436" w:rsidRPr="009C0816">
        <w:rPr>
          <w:rFonts w:ascii="Century Gothic" w:eastAsia="Times New Roman" w:hAnsi="Century Gothic"/>
        </w:rPr>
        <w:t>r</w:t>
      </w:r>
      <w:r w:rsidRPr="009C0816">
        <w:rPr>
          <w:rFonts w:ascii="Century Gothic" w:eastAsia="Times New Roman" w:hAnsi="Century Gothic"/>
        </w:rPr>
        <w:t>equest a call back and they will get back to you at a time that is convenient to you.</w:t>
      </w:r>
      <w:bookmarkStart w:id="0" w:name="_GoBack"/>
      <w:bookmarkEnd w:id="0"/>
    </w:p>
    <w:p w14:paraId="16E9B666" w14:textId="426DA390" w:rsidR="00C64BFF" w:rsidRPr="009C0816" w:rsidRDefault="00530775" w:rsidP="00C64BFF">
      <w:pPr>
        <w:spacing w:before="100" w:beforeAutospacing="1" w:after="100" w:afterAutospacing="1" w:line="330" w:lineRule="atLeast"/>
        <w:rPr>
          <w:rFonts w:ascii="Century Gothic" w:eastAsia="Times New Roman" w:hAnsi="Century Gothic" w:cs="Arial"/>
        </w:rPr>
      </w:pPr>
      <w:hyperlink r:id="rId5" w:history="1">
        <w:r w:rsidR="00C64BFF" w:rsidRPr="009C0816">
          <w:rPr>
            <w:rStyle w:val="Hyperlink"/>
            <w:rFonts w:ascii="Century Gothic" w:eastAsia="Times New Roman" w:hAnsi="Century Gothic"/>
          </w:rPr>
          <w:t>BOOK A CALLBACK</w:t>
        </w:r>
      </w:hyperlink>
    </w:p>
    <w:sectPr w:rsidR="00C64BFF" w:rsidRPr="009C0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B72"/>
    <w:multiLevelType w:val="multilevel"/>
    <w:tmpl w:val="82B0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03EAA"/>
    <w:multiLevelType w:val="multilevel"/>
    <w:tmpl w:val="676C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A6E61"/>
    <w:multiLevelType w:val="multilevel"/>
    <w:tmpl w:val="AC18A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13F0D"/>
    <w:multiLevelType w:val="multilevel"/>
    <w:tmpl w:val="3AD0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FF"/>
    <w:rsid w:val="00065615"/>
    <w:rsid w:val="00530775"/>
    <w:rsid w:val="00552855"/>
    <w:rsid w:val="007B3CA9"/>
    <w:rsid w:val="008079F6"/>
    <w:rsid w:val="009C0816"/>
    <w:rsid w:val="00B15A2B"/>
    <w:rsid w:val="00C034AA"/>
    <w:rsid w:val="00C64BFF"/>
    <w:rsid w:val="00C83696"/>
    <w:rsid w:val="00ED143B"/>
    <w:rsid w:val="00ED4436"/>
    <w:rsid w:val="00F82BBF"/>
    <w:rsid w:val="00FE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839C"/>
  <w15:chartTrackingRefBased/>
  <w15:docId w15:val="{9E644D5A-8E30-44AF-887B-476AE025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BFF"/>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ED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36"/>
    <w:rPr>
      <w:rFonts w:ascii="Segoe UI" w:hAnsi="Segoe UI" w:cs="Segoe UI"/>
      <w:sz w:val="18"/>
      <w:szCs w:val="18"/>
    </w:rPr>
  </w:style>
  <w:style w:type="character" w:styleId="CommentReference">
    <w:name w:val="annotation reference"/>
    <w:basedOn w:val="DefaultParagraphFont"/>
    <w:uiPriority w:val="99"/>
    <w:semiHidden/>
    <w:unhideWhenUsed/>
    <w:rsid w:val="00ED4436"/>
    <w:rPr>
      <w:sz w:val="16"/>
      <w:szCs w:val="16"/>
    </w:rPr>
  </w:style>
  <w:style w:type="paragraph" w:styleId="CommentText">
    <w:name w:val="annotation text"/>
    <w:basedOn w:val="Normal"/>
    <w:link w:val="CommentTextChar"/>
    <w:uiPriority w:val="99"/>
    <w:semiHidden/>
    <w:unhideWhenUsed/>
    <w:rsid w:val="00ED4436"/>
    <w:pPr>
      <w:spacing w:line="240" w:lineRule="auto"/>
    </w:pPr>
    <w:rPr>
      <w:sz w:val="20"/>
      <w:szCs w:val="20"/>
    </w:rPr>
  </w:style>
  <w:style w:type="character" w:customStyle="1" w:styleId="CommentTextChar">
    <w:name w:val="Comment Text Char"/>
    <w:basedOn w:val="DefaultParagraphFont"/>
    <w:link w:val="CommentText"/>
    <w:uiPriority w:val="99"/>
    <w:semiHidden/>
    <w:rsid w:val="00ED4436"/>
    <w:rPr>
      <w:sz w:val="20"/>
      <w:szCs w:val="20"/>
    </w:rPr>
  </w:style>
  <w:style w:type="paragraph" w:styleId="CommentSubject">
    <w:name w:val="annotation subject"/>
    <w:basedOn w:val="CommentText"/>
    <w:next w:val="CommentText"/>
    <w:link w:val="CommentSubjectChar"/>
    <w:uiPriority w:val="99"/>
    <w:semiHidden/>
    <w:unhideWhenUsed/>
    <w:rsid w:val="00ED4436"/>
    <w:rPr>
      <w:b/>
      <w:bCs/>
    </w:rPr>
  </w:style>
  <w:style w:type="character" w:customStyle="1" w:styleId="CommentSubjectChar">
    <w:name w:val="Comment Subject Char"/>
    <w:basedOn w:val="CommentTextChar"/>
    <w:link w:val="CommentSubject"/>
    <w:uiPriority w:val="99"/>
    <w:semiHidden/>
    <w:rsid w:val="00ED4436"/>
    <w:rPr>
      <w:b/>
      <w:bCs/>
      <w:sz w:val="20"/>
      <w:szCs w:val="20"/>
    </w:rPr>
  </w:style>
  <w:style w:type="character" w:styleId="Hyperlink">
    <w:name w:val="Hyperlink"/>
    <w:basedOn w:val="DefaultParagraphFont"/>
    <w:uiPriority w:val="99"/>
    <w:unhideWhenUsed/>
    <w:rsid w:val="00ED4436"/>
    <w:rPr>
      <w:color w:val="0563C1" w:themeColor="hyperlink"/>
      <w:u w:val="single"/>
    </w:rPr>
  </w:style>
  <w:style w:type="character" w:styleId="UnresolvedMention">
    <w:name w:val="Unresolved Mention"/>
    <w:basedOn w:val="DefaultParagraphFont"/>
    <w:uiPriority w:val="99"/>
    <w:semiHidden/>
    <w:unhideWhenUsed/>
    <w:rsid w:val="00ED4436"/>
    <w:rPr>
      <w:color w:val="605E5C"/>
      <w:shd w:val="clear" w:color="auto" w:fill="E1DFDD"/>
    </w:rPr>
  </w:style>
  <w:style w:type="character" w:styleId="Strong">
    <w:name w:val="Strong"/>
    <w:basedOn w:val="DefaultParagraphFont"/>
    <w:uiPriority w:val="22"/>
    <w:qFormat/>
    <w:rsid w:val="009C0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742">
      <w:bodyDiv w:val="1"/>
      <w:marLeft w:val="0"/>
      <w:marRight w:val="0"/>
      <w:marTop w:val="0"/>
      <w:marBottom w:val="0"/>
      <w:divBdr>
        <w:top w:val="none" w:sz="0" w:space="0" w:color="auto"/>
        <w:left w:val="none" w:sz="0" w:space="0" w:color="auto"/>
        <w:bottom w:val="none" w:sz="0" w:space="0" w:color="auto"/>
        <w:right w:val="none" w:sz="0" w:space="0" w:color="auto"/>
      </w:divBdr>
    </w:div>
    <w:div w:id="850222330">
      <w:bodyDiv w:val="1"/>
      <w:marLeft w:val="0"/>
      <w:marRight w:val="0"/>
      <w:marTop w:val="0"/>
      <w:marBottom w:val="0"/>
      <w:divBdr>
        <w:top w:val="none" w:sz="0" w:space="0" w:color="auto"/>
        <w:left w:val="none" w:sz="0" w:space="0" w:color="auto"/>
        <w:bottom w:val="none" w:sz="0" w:space="0" w:color="auto"/>
        <w:right w:val="none" w:sz="0" w:space="0" w:color="auto"/>
      </w:divBdr>
    </w:div>
    <w:div w:id="1461146010">
      <w:bodyDiv w:val="1"/>
      <w:marLeft w:val="0"/>
      <w:marRight w:val="0"/>
      <w:marTop w:val="0"/>
      <w:marBottom w:val="0"/>
      <w:divBdr>
        <w:top w:val="none" w:sz="0" w:space="0" w:color="auto"/>
        <w:left w:val="none" w:sz="0" w:space="0" w:color="auto"/>
        <w:bottom w:val="none" w:sz="0" w:space="0" w:color="auto"/>
        <w:right w:val="none" w:sz="0" w:space="0" w:color="auto"/>
      </w:divBdr>
    </w:div>
    <w:div w:id="1487014966">
      <w:bodyDiv w:val="1"/>
      <w:marLeft w:val="0"/>
      <w:marRight w:val="0"/>
      <w:marTop w:val="0"/>
      <w:marBottom w:val="0"/>
      <w:divBdr>
        <w:top w:val="none" w:sz="0" w:space="0" w:color="auto"/>
        <w:left w:val="none" w:sz="0" w:space="0" w:color="auto"/>
        <w:bottom w:val="none" w:sz="0" w:space="0" w:color="auto"/>
        <w:right w:val="none" w:sz="0" w:space="0" w:color="auto"/>
      </w:divBdr>
    </w:div>
    <w:div w:id="1714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mentshieldadvisers.co.uk/contact-us?utm_source=Paymentshield_Limited&amp;utm_medium=Network_eNews&amp;utm_campaign=Rent_Protection_Network_eNews_August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Halton</dc:creator>
  <cp:keywords/>
  <dc:description/>
  <cp:lastModifiedBy>Charlotte Halton</cp:lastModifiedBy>
  <cp:revision>5</cp:revision>
  <dcterms:created xsi:type="dcterms:W3CDTF">2020-08-05T09:45:00Z</dcterms:created>
  <dcterms:modified xsi:type="dcterms:W3CDTF">2020-08-05T13:47:00Z</dcterms:modified>
</cp:coreProperties>
</file>